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C63C8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3C89" w:rsidRDefault="00C63C89" w:rsidP="00C63C89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38100</wp:posOffset>
                  </wp:positionV>
                  <wp:extent cx="864235" cy="863600"/>
                  <wp:effectExtent l="25400" t="0" r="0" b="0"/>
                  <wp:wrapSquare wrapText="bothSides"/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C63C89" w:rsidRDefault="00C63C89" w:rsidP="00C63C89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C63C89" w:rsidRDefault="00C63C89" w:rsidP="00C63C89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C63C89" w:rsidRDefault="00C63C89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 xml:space="preserve">: </w:t>
            </w:r>
            <w:r>
              <w:t>Oficina de Performance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 xml:space="preserve">: </w:t>
            </w:r>
            <w:proofErr w:type="spellStart"/>
            <w:r>
              <w:t>APC</w:t>
            </w:r>
            <w:proofErr w:type="spellEnd"/>
            <w:r>
              <w:t xml:space="preserve"> 0013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 xml:space="preserve">:   </w:t>
            </w:r>
            <w:r>
              <w:t>30h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 xml:space="preserve">: </w:t>
            </w:r>
            <w:r>
              <w:t>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 xml:space="preserve">: </w:t>
            </w:r>
            <w:r>
              <w:t>---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3C89" w:rsidRPr="00C63C89" w:rsidRDefault="00C63C89" w:rsidP="00C63C89">
            <w:pPr>
              <w:rPr>
                <w:sz w:val="27"/>
                <w:szCs w:val="27"/>
              </w:rPr>
            </w:pPr>
            <w:r>
              <w:rPr>
                <w:b/>
              </w:rPr>
              <w:t>EMENTA</w:t>
            </w:r>
            <w:r>
              <w:t xml:space="preserve">:   </w:t>
            </w:r>
            <w:r w:rsidRPr="00837846">
              <w:rPr>
                <w:sz w:val="27"/>
                <w:szCs w:val="27"/>
              </w:rPr>
              <w:t xml:space="preserve">Aprofundamento de ordem prática de questões relativas à performance musical.  Interferência de fatores extra-musicais.  </w:t>
            </w:r>
            <w:proofErr w:type="spellStart"/>
            <w:r w:rsidRPr="00837846">
              <w:rPr>
                <w:sz w:val="27"/>
                <w:szCs w:val="27"/>
              </w:rPr>
              <w:t>Inter-relação</w:t>
            </w:r>
            <w:proofErr w:type="spellEnd"/>
            <w:r w:rsidRPr="00837846">
              <w:rPr>
                <w:sz w:val="27"/>
                <w:szCs w:val="27"/>
              </w:rPr>
              <w:t xml:space="preserve"> intérprete-público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3C89" w:rsidRPr="00C63C89" w:rsidRDefault="00C63C89" w:rsidP="00C63C89">
            <w:pPr>
              <w:rPr>
                <w:sz w:val="27"/>
                <w:szCs w:val="27"/>
              </w:rPr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 w:rsidRPr="00837846">
              <w:rPr>
                <w:sz w:val="27"/>
                <w:szCs w:val="27"/>
              </w:rPr>
              <w:t>Proporcionar espaço para a execução de peças instrumentais e posterior análise de fatores musicais e extra-musicais, que determinam resultados finais de apresentações, concursos, concertos e recitais.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3C89" w:rsidRDefault="00C63C89" w:rsidP="00C63C89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3C89" w:rsidRPr="00C63C89" w:rsidRDefault="00C63C89" w:rsidP="00C63C89">
            <w:pPr>
              <w:rPr>
                <w:sz w:val="27"/>
                <w:szCs w:val="27"/>
              </w:rPr>
            </w:pPr>
            <w:r>
              <w:rPr>
                <w:b/>
              </w:rPr>
              <w:t>CONTEÚDO PROGRAMÁTICO</w:t>
            </w:r>
            <w:r>
              <w:t xml:space="preserve">: </w:t>
            </w:r>
            <w:r w:rsidRPr="00837846">
              <w:rPr>
                <w:sz w:val="27"/>
                <w:szCs w:val="27"/>
              </w:rPr>
              <w:t>O curso aborda a interdependência de questões como preparativos para apresentações, condições físicas e psicológicas, inibições, medo de palco, conscientização do espaço cênico, visão de palco, indumentária, contextualização d</w:t>
            </w:r>
            <w:r>
              <w:rPr>
                <w:sz w:val="27"/>
                <w:szCs w:val="27"/>
              </w:rPr>
              <w:t>e</w:t>
            </w:r>
            <w:r w:rsidRPr="00837846">
              <w:rPr>
                <w:sz w:val="27"/>
                <w:szCs w:val="27"/>
              </w:rPr>
              <w:t xml:space="preserve"> estilos musicais, reconhecimento do tipo de público, </w:t>
            </w:r>
            <w:r>
              <w:rPr>
                <w:sz w:val="27"/>
                <w:szCs w:val="27"/>
              </w:rPr>
              <w:t xml:space="preserve">acústica ambiental, </w:t>
            </w:r>
            <w:r w:rsidRPr="00837846">
              <w:rPr>
                <w:sz w:val="27"/>
                <w:szCs w:val="27"/>
              </w:rPr>
              <w:t xml:space="preserve">escolha de repertório, técnicas de interpretação e autocontrole. 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3C89" w:rsidRDefault="00C63C89" w:rsidP="00C63C89">
            <w:pPr>
              <w:pStyle w:val="Default"/>
            </w:pPr>
            <w:r>
              <w:rPr>
                <w:b/>
              </w:rPr>
              <w:t>AVALIAÇÃO</w:t>
            </w:r>
            <w: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3C89" w:rsidRDefault="00C63C89" w:rsidP="00C63C89">
            <w:r>
              <w:rPr>
                <w:b/>
              </w:rPr>
              <w:t>BIBLIOGRAFIA</w:t>
            </w:r>
            <w:r>
              <w:t xml:space="preserve">: </w:t>
            </w:r>
          </w:p>
          <w:p w:rsidR="00C63C89" w:rsidRPr="00C801E2" w:rsidRDefault="00C63C89" w:rsidP="00C63C89">
            <w:pPr>
              <w:pStyle w:val="Default"/>
              <w:rPr>
                <w:rFonts w:ascii="Times New Roman" w:hAnsi="Times New Roman" w:cs="Tahoma"/>
                <w:b/>
                <w:color w:val="auto"/>
                <w:sz w:val="20"/>
                <w:lang w:val="en-US"/>
              </w:rPr>
            </w:pPr>
            <w:proofErr w:type="spellStart"/>
            <w:r w:rsidRPr="00C801E2">
              <w:rPr>
                <w:rFonts w:ascii="Times New Roman" w:hAnsi="Times New Roman" w:cs="Tahoma"/>
                <w:b/>
                <w:color w:val="auto"/>
                <w:sz w:val="20"/>
                <w:lang w:val="en-US"/>
              </w:rPr>
              <w:t>Básica</w:t>
            </w:r>
            <w:proofErr w:type="spellEnd"/>
            <w:r w:rsidRPr="00C801E2">
              <w:rPr>
                <w:rFonts w:ascii="Times New Roman" w:hAnsi="Times New Roman" w:cs="Tahoma"/>
                <w:b/>
                <w:color w:val="auto"/>
                <w:sz w:val="20"/>
                <w:lang w:val="en-US"/>
              </w:rPr>
              <w:t xml:space="preserve">: </w:t>
            </w:r>
          </w:p>
          <w:p w:rsidR="00C63C89" w:rsidRPr="00C801E2" w:rsidRDefault="00C63C89" w:rsidP="00C63C89">
            <w:pPr>
              <w:rPr>
                <w:sz w:val="20"/>
              </w:rPr>
            </w:pPr>
            <w:proofErr w:type="spellStart"/>
            <w:r w:rsidRPr="00C801E2">
              <w:rPr>
                <w:sz w:val="20"/>
              </w:rPr>
              <w:t>HARNONCOURT</w:t>
            </w:r>
            <w:proofErr w:type="spellEnd"/>
            <w:r w:rsidRPr="00C801E2">
              <w:rPr>
                <w:sz w:val="20"/>
              </w:rPr>
              <w:t xml:space="preserve">, </w:t>
            </w:r>
            <w:proofErr w:type="spellStart"/>
            <w:r w:rsidRPr="00C801E2">
              <w:rPr>
                <w:sz w:val="20"/>
              </w:rPr>
              <w:t>Nikolaus</w:t>
            </w:r>
            <w:proofErr w:type="spellEnd"/>
            <w:r w:rsidRPr="00C801E2">
              <w:rPr>
                <w:sz w:val="20"/>
              </w:rPr>
              <w:t xml:space="preserve">. </w:t>
            </w:r>
            <w:r w:rsidRPr="00C801E2">
              <w:rPr>
                <w:i/>
                <w:sz w:val="20"/>
              </w:rPr>
              <w:t>O discurso dos sons : caminhos para uma nova compreensão musical</w:t>
            </w:r>
            <w:r w:rsidRPr="00C801E2">
              <w:rPr>
                <w:sz w:val="20"/>
              </w:rPr>
              <w:t xml:space="preserve">. Rio de Janeiro: </w:t>
            </w:r>
            <w:proofErr w:type="spellStart"/>
            <w:r w:rsidRPr="00C801E2">
              <w:rPr>
                <w:sz w:val="20"/>
              </w:rPr>
              <w:t>Zahar</w:t>
            </w:r>
            <w:proofErr w:type="spellEnd"/>
            <w:r w:rsidRPr="00C801E2">
              <w:rPr>
                <w:sz w:val="20"/>
              </w:rPr>
              <w:t>, 1990. (780.15)</w:t>
            </w:r>
          </w:p>
          <w:p w:rsidR="00C63C89" w:rsidRPr="00C801E2" w:rsidRDefault="00C63C89" w:rsidP="00C63C89">
            <w:pPr>
              <w:pStyle w:val="Default"/>
              <w:rPr>
                <w:rFonts w:ascii="Times New Roman" w:hAnsi="Times New Roman" w:cs="Tahoma"/>
                <w:color w:val="auto"/>
                <w:sz w:val="20"/>
                <w:lang w:val="en-US"/>
              </w:rPr>
            </w:pPr>
            <w:proofErr w:type="spellStart"/>
            <w:r w:rsidRPr="00C801E2">
              <w:rPr>
                <w:rFonts w:ascii="Times New Roman" w:hAnsi="Times New Roman" w:cs="Tahoma"/>
                <w:color w:val="auto"/>
                <w:sz w:val="20"/>
                <w:lang w:val="en-US"/>
              </w:rPr>
              <w:t>SALLES</w:t>
            </w:r>
            <w:proofErr w:type="spellEnd"/>
            <w:r w:rsidRPr="00C801E2">
              <w:rPr>
                <w:rFonts w:ascii="Times New Roman" w:hAnsi="Times New Roman" w:cs="Tahoma"/>
                <w:color w:val="auto"/>
                <w:sz w:val="20"/>
                <w:lang w:val="en-US"/>
              </w:rPr>
              <w:t xml:space="preserve">, Mariana. </w:t>
            </w:r>
            <w:proofErr w:type="spellStart"/>
            <w:r w:rsidRPr="00C801E2">
              <w:rPr>
                <w:rFonts w:ascii="Times New Roman" w:hAnsi="Times New Roman" w:cs="Tahoma"/>
                <w:i/>
                <w:color w:val="auto"/>
                <w:sz w:val="20"/>
                <w:lang w:val="en-US"/>
              </w:rPr>
              <w:t>Arcadas</w:t>
            </w:r>
            <w:proofErr w:type="spellEnd"/>
            <w:r w:rsidRPr="00C801E2">
              <w:rPr>
                <w:rFonts w:ascii="Times New Roman" w:hAnsi="Times New Roman" w:cs="Tahoma"/>
                <w:i/>
                <w:color w:val="auto"/>
                <w:sz w:val="20"/>
                <w:lang w:val="en-US"/>
              </w:rPr>
              <w:t xml:space="preserve"> e </w:t>
            </w:r>
            <w:proofErr w:type="spellStart"/>
            <w:r w:rsidRPr="00C801E2">
              <w:rPr>
                <w:rFonts w:ascii="Times New Roman" w:hAnsi="Times New Roman" w:cs="Tahoma"/>
                <w:i/>
                <w:color w:val="auto"/>
                <w:sz w:val="20"/>
                <w:lang w:val="en-US"/>
              </w:rPr>
              <w:t>Golpes</w:t>
            </w:r>
            <w:proofErr w:type="spellEnd"/>
            <w:r w:rsidRPr="00C801E2">
              <w:rPr>
                <w:rFonts w:ascii="Times New Roman" w:hAnsi="Times New Roman" w:cs="Tahoma"/>
                <w:i/>
                <w:color w:val="auto"/>
                <w:sz w:val="20"/>
                <w:lang w:val="en-US"/>
              </w:rPr>
              <w:t xml:space="preserve"> de Arco.</w:t>
            </w:r>
            <w:r w:rsidRPr="00C801E2">
              <w:rPr>
                <w:rFonts w:ascii="Times New Roman" w:hAnsi="Times New Roman" w:cs="Tahoma"/>
                <w:color w:val="auto"/>
                <w:sz w:val="20"/>
                <w:lang w:val="en-US"/>
              </w:rPr>
              <w:t xml:space="preserve"> Brasília: Thesaurus, 2004.</w:t>
            </w:r>
          </w:p>
          <w:p w:rsidR="00C63C89" w:rsidRPr="00680360" w:rsidRDefault="00C63C89" w:rsidP="00C63C89">
            <w:pPr>
              <w:rPr>
                <w:sz w:val="20"/>
              </w:rPr>
            </w:pPr>
            <w:proofErr w:type="spellStart"/>
            <w:r w:rsidRPr="00680360">
              <w:rPr>
                <w:sz w:val="20"/>
              </w:rPr>
              <w:t>SCHAFER</w:t>
            </w:r>
            <w:proofErr w:type="spellEnd"/>
            <w:r w:rsidRPr="00680360">
              <w:rPr>
                <w:sz w:val="20"/>
              </w:rPr>
              <w:t xml:space="preserve">, R. Murray. </w:t>
            </w:r>
            <w:r w:rsidRPr="00680360">
              <w:rPr>
                <w:i/>
                <w:sz w:val="20"/>
              </w:rPr>
              <w:t>O ouvido pensante</w:t>
            </w:r>
            <w:r w:rsidRPr="00680360">
              <w:rPr>
                <w:sz w:val="20"/>
              </w:rPr>
              <w:t>. São Paulo: Ed. UNESP, 1992. (780.7)</w:t>
            </w:r>
          </w:p>
          <w:p w:rsidR="00C63C89" w:rsidRPr="00C801E2" w:rsidRDefault="00C63C89" w:rsidP="00C63C89">
            <w:pPr>
              <w:pStyle w:val="Default"/>
              <w:rPr>
                <w:rFonts w:ascii="Times New Roman" w:hAnsi="Times New Roman" w:cs="Tahoma"/>
                <w:b/>
                <w:color w:val="auto"/>
                <w:sz w:val="20"/>
                <w:lang w:val="en-US"/>
              </w:rPr>
            </w:pPr>
            <w:proofErr w:type="spellStart"/>
            <w:r w:rsidRPr="00C801E2">
              <w:rPr>
                <w:rFonts w:ascii="Times New Roman" w:hAnsi="Times New Roman" w:cs="Tahoma"/>
                <w:b/>
                <w:color w:val="auto"/>
                <w:sz w:val="20"/>
                <w:lang w:val="en-US"/>
              </w:rPr>
              <w:t>Complementar</w:t>
            </w:r>
            <w:proofErr w:type="spellEnd"/>
            <w:r w:rsidRPr="00C801E2">
              <w:rPr>
                <w:rFonts w:ascii="Times New Roman" w:hAnsi="Times New Roman" w:cs="Tahoma"/>
                <w:b/>
                <w:color w:val="auto"/>
                <w:sz w:val="20"/>
                <w:lang w:val="en-US"/>
              </w:rPr>
              <w:t xml:space="preserve">: </w:t>
            </w:r>
          </w:p>
          <w:p w:rsidR="00C63C89" w:rsidRPr="00C801E2" w:rsidRDefault="00C63C89" w:rsidP="00C63C89">
            <w:pPr>
              <w:rPr>
                <w:sz w:val="20"/>
                <w:lang w:val="en-US"/>
              </w:rPr>
            </w:pPr>
            <w:proofErr w:type="spellStart"/>
            <w:r w:rsidRPr="00C801E2">
              <w:rPr>
                <w:smallCaps/>
                <w:sz w:val="20"/>
              </w:rPr>
              <w:t>Auer</w:t>
            </w:r>
            <w:proofErr w:type="spellEnd"/>
            <w:r w:rsidRPr="00C801E2">
              <w:rPr>
                <w:sz w:val="20"/>
              </w:rPr>
              <w:t xml:space="preserve">, </w:t>
            </w:r>
            <w:proofErr w:type="spellStart"/>
            <w:r w:rsidRPr="00C801E2">
              <w:rPr>
                <w:sz w:val="20"/>
              </w:rPr>
              <w:t>Leopold</w:t>
            </w:r>
            <w:proofErr w:type="spellEnd"/>
            <w:r w:rsidRPr="00C801E2">
              <w:rPr>
                <w:sz w:val="20"/>
              </w:rPr>
              <w:t xml:space="preserve">. </w:t>
            </w:r>
            <w:r w:rsidRPr="00C801E2">
              <w:rPr>
                <w:i/>
                <w:sz w:val="20"/>
                <w:lang w:val="en-US"/>
              </w:rPr>
              <w:t>Violin Playing As I Teach It.</w:t>
            </w:r>
            <w:r w:rsidRPr="00C801E2">
              <w:rPr>
                <w:sz w:val="20"/>
                <w:lang w:val="en-US"/>
              </w:rPr>
              <w:t xml:space="preserve"> New York: Dover Publications, </w:t>
            </w:r>
            <w:proofErr w:type="gramStart"/>
            <w:r w:rsidRPr="00C801E2">
              <w:rPr>
                <w:sz w:val="20"/>
                <w:lang w:val="en-US"/>
              </w:rPr>
              <w:t>Inc.,</w:t>
            </w:r>
            <w:proofErr w:type="gramEnd"/>
            <w:r w:rsidRPr="00C801E2">
              <w:rPr>
                <w:sz w:val="20"/>
                <w:lang w:val="en-US"/>
              </w:rPr>
              <w:t xml:space="preserve"> 1980.</w:t>
            </w:r>
          </w:p>
          <w:p w:rsidR="00C63C89" w:rsidRPr="00C801E2" w:rsidRDefault="00C63C89" w:rsidP="00C63C89">
            <w:pPr>
              <w:rPr>
                <w:sz w:val="20"/>
                <w:lang w:val="en-US"/>
              </w:rPr>
            </w:pPr>
            <w:proofErr w:type="spellStart"/>
            <w:r w:rsidRPr="00C801E2">
              <w:rPr>
                <w:smallCaps/>
                <w:sz w:val="20"/>
              </w:rPr>
              <w:t>Boyden</w:t>
            </w:r>
            <w:proofErr w:type="spellEnd"/>
            <w:r w:rsidRPr="00C801E2">
              <w:rPr>
                <w:sz w:val="20"/>
              </w:rPr>
              <w:t xml:space="preserve">, David. </w:t>
            </w:r>
            <w:r w:rsidRPr="00C801E2">
              <w:rPr>
                <w:i/>
                <w:sz w:val="20"/>
                <w:lang w:val="en-US"/>
              </w:rPr>
              <w:t>The History of Violin Playing From Its Origins to 1761.</w:t>
            </w:r>
            <w:r w:rsidRPr="00C801E2">
              <w:rPr>
                <w:sz w:val="20"/>
                <w:lang w:val="en-US"/>
              </w:rPr>
              <w:t xml:space="preserve"> Oxford: Clarendon Press, 1965.</w:t>
            </w:r>
          </w:p>
          <w:p w:rsidR="00C63C89" w:rsidRPr="00C801E2" w:rsidRDefault="00C63C89" w:rsidP="00C63C89">
            <w:pPr>
              <w:pStyle w:val="Default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801E2">
              <w:rPr>
                <w:rFonts w:ascii="Times New Roman" w:hAnsi="Times New Roman"/>
                <w:sz w:val="20"/>
                <w:lang w:val="es-ES_tradnl"/>
              </w:rPr>
              <w:t>Capet</w:t>
            </w:r>
            <w:proofErr w:type="spellEnd"/>
            <w:r w:rsidRPr="00C801E2">
              <w:rPr>
                <w:rFonts w:ascii="Times New Roman" w:hAnsi="Times New Roman"/>
                <w:sz w:val="20"/>
                <w:lang w:val="es-ES_tradnl"/>
              </w:rPr>
              <w:t xml:space="preserve">, Lucien. </w:t>
            </w:r>
            <w:r w:rsidRPr="00C801E2">
              <w:rPr>
                <w:rFonts w:ascii="Times New Roman" w:hAnsi="Times New Roman"/>
                <w:i/>
                <w:sz w:val="20"/>
                <w:lang w:val="en-US"/>
              </w:rPr>
              <w:t xml:space="preserve">La Technique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  <w:lang w:val="en-US"/>
              </w:rPr>
              <w:t>Supérieure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  <w:lang w:val="en-US"/>
              </w:rPr>
              <w:t xml:space="preserve"> de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  <w:lang w:val="en-US"/>
              </w:rPr>
              <w:t>l´Archet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  <w:lang w:val="en-US"/>
              </w:rPr>
              <w:t xml:space="preserve">. </w:t>
            </w:r>
            <w:r w:rsidRPr="00C801E2">
              <w:rPr>
                <w:rFonts w:ascii="Times New Roman" w:hAnsi="Times New Roman"/>
                <w:sz w:val="20"/>
                <w:lang w:val="en-US"/>
              </w:rPr>
              <w:t xml:space="preserve">Paris: Ed. M. </w:t>
            </w:r>
            <w:proofErr w:type="spellStart"/>
            <w:r w:rsidRPr="00C801E2">
              <w:rPr>
                <w:rFonts w:ascii="Times New Roman" w:hAnsi="Times New Roman"/>
                <w:sz w:val="20"/>
                <w:lang w:val="en-US"/>
              </w:rPr>
              <w:t>Senart</w:t>
            </w:r>
            <w:proofErr w:type="spellEnd"/>
            <w:r w:rsidRPr="00C801E2">
              <w:rPr>
                <w:rFonts w:ascii="Times New Roman" w:hAnsi="Times New Roman"/>
                <w:sz w:val="20"/>
                <w:lang w:val="en-US"/>
              </w:rPr>
              <w:t>.  1916.</w:t>
            </w:r>
          </w:p>
          <w:p w:rsidR="00C63C89" w:rsidRPr="00C801E2" w:rsidRDefault="00C63C89" w:rsidP="00C63C89">
            <w:pPr>
              <w:rPr>
                <w:sz w:val="20"/>
                <w:lang w:val="en-US"/>
              </w:rPr>
            </w:pPr>
            <w:r w:rsidRPr="00C801E2">
              <w:rPr>
                <w:smallCaps/>
                <w:sz w:val="20"/>
              </w:rPr>
              <w:t>Flesch</w:t>
            </w:r>
            <w:r w:rsidRPr="00C801E2">
              <w:rPr>
                <w:sz w:val="20"/>
              </w:rPr>
              <w:t xml:space="preserve">, Carl. </w:t>
            </w:r>
            <w:r w:rsidRPr="00C801E2">
              <w:rPr>
                <w:i/>
                <w:sz w:val="20"/>
                <w:lang w:val="en-US"/>
              </w:rPr>
              <w:t>The Art of Violin Playing.</w:t>
            </w:r>
            <w:r w:rsidRPr="00C801E2">
              <w:rPr>
                <w:sz w:val="20"/>
                <w:lang w:val="en-US"/>
              </w:rPr>
              <w:t xml:space="preserve"> New York: Carl Fischer, </w:t>
            </w:r>
            <w:proofErr w:type="gramStart"/>
            <w:r w:rsidRPr="00C801E2">
              <w:rPr>
                <w:sz w:val="20"/>
                <w:lang w:val="en-US"/>
              </w:rPr>
              <w:t>Inc.,</w:t>
            </w:r>
            <w:proofErr w:type="gramEnd"/>
            <w:r w:rsidRPr="00C801E2">
              <w:rPr>
                <w:sz w:val="20"/>
                <w:lang w:val="en-US"/>
              </w:rPr>
              <w:t xml:space="preserve"> 1924.</w:t>
            </w:r>
          </w:p>
          <w:p w:rsidR="00C63C89" w:rsidRPr="00C801E2" w:rsidRDefault="00C63C89" w:rsidP="00C63C89">
            <w:pPr>
              <w:rPr>
                <w:sz w:val="20"/>
              </w:rPr>
            </w:pPr>
            <w:proofErr w:type="spellStart"/>
            <w:r w:rsidRPr="00C801E2">
              <w:rPr>
                <w:smallCaps/>
                <w:sz w:val="20"/>
                <w:lang w:val="en-US"/>
              </w:rPr>
              <w:t>Galamian</w:t>
            </w:r>
            <w:proofErr w:type="spellEnd"/>
            <w:r w:rsidRPr="00C801E2">
              <w:rPr>
                <w:sz w:val="20"/>
                <w:lang w:val="en-US"/>
              </w:rPr>
              <w:t xml:space="preserve">, Ivan. </w:t>
            </w:r>
            <w:r w:rsidRPr="00C801E2">
              <w:rPr>
                <w:i/>
                <w:sz w:val="20"/>
                <w:lang w:val="en-US"/>
              </w:rPr>
              <w:t>Principles of Violin Playing and Teaching.</w:t>
            </w:r>
            <w:r w:rsidRPr="00C801E2">
              <w:rPr>
                <w:sz w:val="20"/>
                <w:lang w:val="en-US"/>
              </w:rPr>
              <w:t xml:space="preserve"> </w:t>
            </w:r>
            <w:proofErr w:type="spellStart"/>
            <w:r w:rsidRPr="00C801E2">
              <w:rPr>
                <w:sz w:val="20"/>
              </w:rPr>
              <w:t>Englewood</w:t>
            </w:r>
            <w:proofErr w:type="spellEnd"/>
            <w:r w:rsidRPr="00C801E2">
              <w:rPr>
                <w:sz w:val="20"/>
              </w:rPr>
              <w:t xml:space="preserve"> </w:t>
            </w:r>
            <w:proofErr w:type="spellStart"/>
            <w:r w:rsidRPr="00C801E2">
              <w:rPr>
                <w:sz w:val="20"/>
              </w:rPr>
              <w:t>Cliffs</w:t>
            </w:r>
            <w:proofErr w:type="spellEnd"/>
            <w:r w:rsidRPr="00C801E2">
              <w:rPr>
                <w:sz w:val="20"/>
              </w:rPr>
              <w:t xml:space="preserve">: </w:t>
            </w:r>
            <w:proofErr w:type="spellStart"/>
            <w:r w:rsidRPr="00C801E2">
              <w:rPr>
                <w:sz w:val="20"/>
              </w:rPr>
              <w:t>Prentice</w:t>
            </w:r>
            <w:proofErr w:type="spellEnd"/>
            <w:r w:rsidRPr="00C801E2">
              <w:rPr>
                <w:sz w:val="20"/>
              </w:rPr>
              <w:t xml:space="preserve"> Hall,1962.</w:t>
            </w:r>
          </w:p>
          <w:p w:rsidR="00C63C89" w:rsidRPr="00C801E2" w:rsidRDefault="00C63C89" w:rsidP="00C63C89">
            <w:pPr>
              <w:rPr>
                <w:sz w:val="20"/>
              </w:rPr>
            </w:pPr>
            <w:proofErr w:type="spellStart"/>
            <w:r w:rsidRPr="00C801E2">
              <w:rPr>
                <w:smallCaps/>
                <w:sz w:val="20"/>
              </w:rPr>
              <w:t>Havas</w:t>
            </w:r>
            <w:proofErr w:type="spellEnd"/>
            <w:r w:rsidRPr="00C801E2">
              <w:rPr>
                <w:sz w:val="20"/>
              </w:rPr>
              <w:t xml:space="preserve">, Kato. </w:t>
            </w:r>
            <w:r w:rsidRPr="00C801E2">
              <w:rPr>
                <w:i/>
                <w:sz w:val="20"/>
                <w:lang w:val="en-US"/>
              </w:rPr>
              <w:t>A New Approach to Violin Playing.</w:t>
            </w:r>
            <w:r w:rsidRPr="00C801E2">
              <w:rPr>
                <w:sz w:val="20"/>
                <w:lang w:val="en-US"/>
              </w:rPr>
              <w:t xml:space="preserve"> London: Bosworth &amp; Co., 1961.</w:t>
            </w:r>
          </w:p>
          <w:p w:rsidR="00C63C89" w:rsidRPr="00C801E2" w:rsidRDefault="00C63C89" w:rsidP="00C63C89">
            <w:pPr>
              <w:rPr>
                <w:sz w:val="20"/>
                <w:lang w:val="en-US"/>
              </w:rPr>
            </w:pPr>
            <w:proofErr w:type="spellStart"/>
            <w:r w:rsidRPr="00C801E2">
              <w:rPr>
                <w:smallCaps/>
                <w:sz w:val="20"/>
              </w:rPr>
              <w:t>Melkus</w:t>
            </w:r>
            <w:proofErr w:type="spellEnd"/>
            <w:r w:rsidRPr="00C801E2">
              <w:rPr>
                <w:sz w:val="20"/>
              </w:rPr>
              <w:t xml:space="preserve">, Eduard. </w:t>
            </w:r>
            <w:r w:rsidRPr="00C801E2">
              <w:rPr>
                <w:i/>
                <w:sz w:val="20"/>
                <w:lang w:val="en-US"/>
              </w:rPr>
              <w:t xml:space="preserve">Die </w:t>
            </w:r>
            <w:proofErr w:type="spellStart"/>
            <w:r w:rsidRPr="00C801E2">
              <w:rPr>
                <w:i/>
                <w:sz w:val="20"/>
                <w:lang w:val="en-US"/>
              </w:rPr>
              <w:t>Violine</w:t>
            </w:r>
            <w:proofErr w:type="spellEnd"/>
            <w:r w:rsidRPr="00C801E2">
              <w:rPr>
                <w:sz w:val="20"/>
                <w:lang w:val="en-US"/>
              </w:rPr>
              <w:t xml:space="preserve">. Bern e </w:t>
            </w:r>
            <w:proofErr w:type="spellStart"/>
            <w:r w:rsidRPr="00C801E2">
              <w:rPr>
                <w:sz w:val="20"/>
                <w:lang w:val="en-US"/>
              </w:rPr>
              <w:t>Stuttgard</w:t>
            </w:r>
            <w:proofErr w:type="spellEnd"/>
            <w:r w:rsidRPr="00C801E2">
              <w:rPr>
                <w:sz w:val="20"/>
                <w:lang w:val="en-US"/>
              </w:rPr>
              <w:t xml:space="preserve">: </w:t>
            </w:r>
            <w:proofErr w:type="spellStart"/>
            <w:r w:rsidRPr="00C801E2">
              <w:rPr>
                <w:sz w:val="20"/>
                <w:lang w:val="en-US"/>
              </w:rPr>
              <w:t>Hallwag</w:t>
            </w:r>
            <w:proofErr w:type="spellEnd"/>
            <w:r w:rsidRPr="00C801E2">
              <w:rPr>
                <w:sz w:val="20"/>
                <w:lang w:val="en-US"/>
              </w:rPr>
              <w:t>, 1</w:t>
            </w:r>
            <w:r>
              <w:rPr>
                <w:sz w:val="20"/>
                <w:lang w:val="en-US"/>
              </w:rPr>
              <w:t xml:space="preserve"> </w:t>
            </w:r>
            <w:r w:rsidRPr="00C801E2">
              <w:rPr>
                <w:sz w:val="20"/>
                <w:lang w:val="en-US"/>
              </w:rPr>
              <w:t>974.</w:t>
            </w:r>
          </w:p>
          <w:p w:rsidR="00C63C89" w:rsidRPr="00C801E2" w:rsidRDefault="00C63C89" w:rsidP="00C63C89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 w:rsidRPr="00C801E2">
              <w:rPr>
                <w:rFonts w:ascii="Times New Roman" w:hAnsi="Times New Roman"/>
                <w:sz w:val="20"/>
              </w:rPr>
              <w:t>Pasquali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,G. -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Principe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, R. </w:t>
            </w:r>
            <w:r w:rsidRPr="00C801E2">
              <w:rPr>
                <w:rFonts w:ascii="Times New Roman" w:hAnsi="Times New Roman"/>
                <w:i/>
                <w:sz w:val="20"/>
                <w:lang w:val="es-ES_tradnl"/>
              </w:rPr>
              <w:t xml:space="preserve">El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  <w:lang w:val="es-ES_tradnl"/>
              </w:rPr>
              <w:t>Violin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  <w:lang w:val="es-ES_tradnl"/>
              </w:rPr>
              <w:t xml:space="preserve">. Manual de Cultura Y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  <w:lang w:val="es-ES_tradnl"/>
              </w:rPr>
              <w:t>Didactica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  <w:lang w:val="es-ES_tradnl"/>
              </w:rPr>
              <w:t xml:space="preserve">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  <w:lang w:val="es-ES_tradnl"/>
              </w:rPr>
              <w:t>Violinistica.</w:t>
            </w:r>
            <w:r w:rsidRPr="00C801E2">
              <w:rPr>
                <w:rFonts w:ascii="Times New Roman" w:hAnsi="Times New Roman"/>
                <w:sz w:val="20"/>
                <w:lang w:val="es-ES_tradnl"/>
              </w:rPr>
              <w:t>Ed</w:t>
            </w:r>
            <w:proofErr w:type="spellEnd"/>
            <w:r w:rsidRPr="00C801E2">
              <w:rPr>
                <w:rFonts w:ascii="Times New Roman" w:hAnsi="Times New Roman"/>
                <w:sz w:val="20"/>
                <w:lang w:val="es-ES_tradnl"/>
              </w:rPr>
              <w:t xml:space="preserve">. </w:t>
            </w:r>
            <w:proofErr w:type="spellStart"/>
            <w:r w:rsidRPr="00C801E2">
              <w:rPr>
                <w:rFonts w:ascii="Times New Roman" w:hAnsi="Times New Roman"/>
                <w:sz w:val="20"/>
                <w:lang w:val="es-ES_tradnl"/>
              </w:rPr>
              <w:t>orig</w:t>
            </w:r>
            <w:proofErr w:type="spellEnd"/>
            <w:r w:rsidRPr="00C801E2">
              <w:rPr>
                <w:rFonts w:ascii="Times New Roman" w:hAnsi="Times New Roman"/>
                <w:sz w:val="20"/>
                <w:lang w:val="es-ES_tradnl"/>
              </w:rPr>
              <w:t xml:space="preserve">.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Edizioni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Curci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. 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Milano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.  !926. </w:t>
            </w:r>
            <w:r w:rsidRPr="00C801E2">
              <w:rPr>
                <w:rFonts w:ascii="Times New Roman" w:hAnsi="Times New Roman"/>
                <w:sz w:val="20"/>
              </w:rPr>
              <w:sym w:font="Symbol" w:char="F0D3"/>
            </w:r>
            <w:r w:rsidRPr="00C801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Ricordi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 Americana. Buenos Aires. 1952.</w:t>
            </w:r>
          </w:p>
          <w:p w:rsidR="00C63C89" w:rsidRPr="00C801E2" w:rsidRDefault="00C63C89" w:rsidP="00C63C89">
            <w:pPr>
              <w:pStyle w:val="Default"/>
              <w:rPr>
                <w:rFonts w:ascii="Times New Roman" w:hAnsi="Times New Roman"/>
                <w:sz w:val="20"/>
              </w:rPr>
            </w:pPr>
            <w:r w:rsidRPr="00C801E2">
              <w:rPr>
                <w:rFonts w:ascii="Times New Roman" w:hAnsi="Times New Roman"/>
                <w:smallCaps/>
                <w:sz w:val="20"/>
              </w:rPr>
              <w:t>Rolland</w:t>
            </w:r>
            <w:r w:rsidRPr="00C801E2">
              <w:rPr>
                <w:rFonts w:ascii="Times New Roman" w:hAnsi="Times New Roman"/>
                <w:sz w:val="20"/>
              </w:rPr>
              <w:t>, Paul.</w:t>
            </w:r>
            <w:r w:rsidRPr="00C801E2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</w:rPr>
              <w:t>The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</w:rPr>
              <w:t>Teaching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</w:rPr>
              <w:t>of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</w:rPr>
              <w:t>Action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</w:rPr>
              <w:t xml:space="preserve"> in String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</w:rPr>
              <w:t>Playing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. Virginia: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ASTA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>, 2000.</w:t>
            </w:r>
          </w:p>
          <w:p w:rsidR="00C63C89" w:rsidRDefault="00C63C89" w:rsidP="00C63C89">
            <w:pPr>
              <w:pStyle w:val="Default"/>
              <w:spacing w:line="360" w:lineRule="auto"/>
            </w:pPr>
            <w:proofErr w:type="spellStart"/>
            <w:r w:rsidRPr="00C801E2">
              <w:rPr>
                <w:rFonts w:ascii="Times New Roman" w:hAnsi="Times New Roman"/>
                <w:sz w:val="20"/>
              </w:rPr>
              <w:t>zigeti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Béla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. </w:t>
            </w:r>
            <w:r w:rsidRPr="00C801E2">
              <w:rPr>
                <w:rFonts w:ascii="Times New Roman" w:hAnsi="Times New Roman"/>
                <w:i/>
                <w:sz w:val="20"/>
              </w:rPr>
              <w:t xml:space="preserve">O </w:t>
            </w:r>
            <w:proofErr w:type="spellStart"/>
            <w:r w:rsidRPr="00C801E2">
              <w:rPr>
                <w:rFonts w:ascii="Times New Roman" w:hAnsi="Times New Roman"/>
                <w:i/>
                <w:sz w:val="20"/>
              </w:rPr>
              <w:t>Vibrato</w:t>
            </w:r>
            <w:proofErr w:type="spellEnd"/>
            <w:r w:rsidRPr="00C801E2">
              <w:rPr>
                <w:rFonts w:ascii="Times New Roman" w:hAnsi="Times New Roman"/>
                <w:i/>
                <w:sz w:val="20"/>
              </w:rPr>
              <w:t xml:space="preserve">. </w:t>
            </w:r>
            <w:r w:rsidRPr="00C801E2">
              <w:rPr>
                <w:rFonts w:ascii="Times New Roman" w:hAnsi="Times New Roman"/>
                <w:sz w:val="20"/>
              </w:rPr>
              <w:sym w:font="Symbol" w:char="F0D3"/>
            </w:r>
            <w:r w:rsidRPr="00C801E2">
              <w:rPr>
                <w:rFonts w:ascii="Times New Roman" w:hAnsi="Times New Roman"/>
                <w:sz w:val="20"/>
              </w:rPr>
              <w:t xml:space="preserve"> </w:t>
            </w:r>
            <w:r w:rsidRPr="00C801E2">
              <w:rPr>
                <w:rFonts w:ascii="Times New Roman" w:hAnsi="Times New Roman"/>
                <w:sz w:val="20"/>
                <w:lang w:val="en-US"/>
              </w:rPr>
              <w:t xml:space="preserve">Ed. </w:t>
            </w:r>
            <w:proofErr w:type="spellStart"/>
            <w:r w:rsidRPr="00C801E2">
              <w:rPr>
                <w:rFonts w:ascii="Times New Roman" w:hAnsi="Times New Roman"/>
                <w:sz w:val="20"/>
                <w:lang w:val="en-US"/>
              </w:rPr>
              <w:t>Helbling</w:t>
            </w:r>
            <w:proofErr w:type="spellEnd"/>
            <w:r w:rsidRPr="00C801E2">
              <w:rPr>
                <w:rFonts w:ascii="Times New Roman" w:hAnsi="Times New Roman"/>
                <w:sz w:val="20"/>
                <w:lang w:val="en-US"/>
              </w:rPr>
              <w:t xml:space="preserve">. Zürich. </w:t>
            </w:r>
            <w:r w:rsidRPr="00C801E2">
              <w:rPr>
                <w:rFonts w:ascii="Times New Roman" w:hAnsi="Times New Roman"/>
                <w:sz w:val="20"/>
              </w:rPr>
              <w:t xml:space="preserve">1952. Trad. I.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Granchi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 xml:space="preserve">. Ir. </w:t>
            </w:r>
            <w:proofErr w:type="spellStart"/>
            <w:r w:rsidRPr="00C801E2">
              <w:rPr>
                <w:rFonts w:ascii="Times New Roman" w:hAnsi="Times New Roman"/>
                <w:sz w:val="20"/>
              </w:rPr>
              <w:t>Vitale</w:t>
            </w:r>
            <w:proofErr w:type="spellEnd"/>
            <w:r w:rsidRPr="00C801E2">
              <w:rPr>
                <w:rFonts w:ascii="Times New Roman" w:hAnsi="Times New Roman"/>
                <w:sz w:val="20"/>
              </w:rPr>
              <w:t>, s/d.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C63C89" w:rsidRDefault="00C63C89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</w:t>
            </w:r>
            <w:r>
              <w:rPr>
                <w:rFonts w:ascii="Times New" w:hAnsi="Times New"/>
                <w:smallCaps/>
              </w:rPr>
              <w:t>Mariana Salles</w:t>
            </w:r>
          </w:p>
        </w:tc>
      </w:tr>
      <w:tr w:rsidR="00C63C8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C63C89" w:rsidRDefault="00C63C89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 xml:space="preserve">:   </w:t>
            </w:r>
            <w:r>
              <w:t>13/03/2015</w:t>
            </w:r>
          </w:p>
        </w:tc>
      </w:tr>
    </w:tbl>
    <w:p w:rsidR="00FB4DDE" w:rsidRDefault="00C63C89" w:rsidP="00C63C89"/>
    <w:sectPr w:rsidR="00FB4DDE" w:rsidSect="00C63C8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63C89"/>
    <w:rsid w:val="00C63C8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89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C63C8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Salles</dc:creator>
  <cp:keywords/>
  <cp:lastModifiedBy>Mariana Salles</cp:lastModifiedBy>
  <cp:revision>1</cp:revision>
  <dcterms:created xsi:type="dcterms:W3CDTF">2015-03-12T11:51:00Z</dcterms:created>
  <dcterms:modified xsi:type="dcterms:W3CDTF">2015-03-12T12:05:00Z</dcterms:modified>
</cp:coreProperties>
</file>